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privacy-policy"/>
    <w:p>
      <w:pPr>
        <w:pStyle w:val="Heading1"/>
      </w:pPr>
      <w:r>
        <w:t xml:space="preserve">Privacy Policy</w:t>
      </w:r>
    </w:p>
    <w:p>
      <w:pPr>
        <w:pStyle w:val="FirstParagraph"/>
      </w:pPr>
      <w:r>
        <w:rPr>
          <w:bCs/>
          <w:b/>
        </w:rPr>
        <w:t xml:space="preserve">Last updated: Pre-Launch Stage (2026)</w:t>
      </w:r>
    </w:p>
    <w:p>
      <w:pPr>
        <w:pStyle w:val="BodyText"/>
      </w:pPr>
      <w:r>
        <w:t xml:space="preserve">This Privacy Policy explains how</w:t>
      </w:r>
      <w:r>
        <w:t xml:space="preserve"> </w:t>
      </w:r>
      <w:r>
        <w:rPr>
          <w:bCs/>
          <w:b/>
        </w:rPr>
        <w:t xml:space="preserve">Organic Growth Engine LLP</w:t>
      </w:r>
      <w:r>
        <w:t xml:space="preserve"> </w:t>
      </w:r>
      <w:r>
        <w:t xml:space="preserve">(</w:t>
      </w:r>
      <w:r>
        <w:t xml:space="preserve">“</w:t>
      </w:r>
      <w:r>
        <w:rPr>
          <w:bCs/>
          <w:b/>
        </w:rPr>
        <w:t xml:space="preserve">we</w:t>
      </w:r>
      <w:r>
        <w:t xml:space="preserve">,</w:t>
      </w:r>
      <w:r>
        <w:t xml:space="preserve">”</w:t>
      </w:r>
      <w:r>
        <w:t xml:space="preserve"> </w:t>
      </w:r>
      <w:r>
        <w:t xml:space="preserve">“</w:t>
      </w:r>
      <w:r>
        <w:rPr>
          <w:bCs/>
          <w:b/>
        </w:rPr>
        <w:t xml:space="preserve">us</w:t>
      </w:r>
      <w:r>
        <w:t xml:space="preserve">,</w:t>
      </w:r>
      <w:r>
        <w:t xml:space="preserve">”</w:t>
      </w:r>
      <w:r>
        <w:t xml:space="preserve"> </w:t>
      </w:r>
      <w:r>
        <w:t xml:space="preserve">“</w:t>
      </w:r>
      <w:r>
        <w:rPr>
          <w:bCs/>
          <w:b/>
        </w:rPr>
        <w:t xml:space="preserve">our</w:t>
      </w:r>
      <w:r>
        <w:t xml:space="preserve">,</w:t>
      </w:r>
      <w:r>
        <w:t xml:space="preserve">”</w:t>
      </w:r>
      <w:r>
        <w:t xml:space="preserve"> </w:t>
      </w:r>
      <w:r>
        <w:t xml:space="preserve">“</w:t>
      </w:r>
      <w:r>
        <w:rPr>
          <w:bCs/>
          <w:b/>
        </w:rPr>
        <w:t xml:space="preserve">Company</w:t>
      </w:r>
      <w:r>
        <w:t xml:space="preserve">”</w:t>
      </w:r>
      <w:r>
        <w:t xml:space="preserve">), a Limited Liability Partnership registered in India, collects, uses, discloses, and protects information when you use our website, our marketing operations and sales automation platform (the</w:t>
      </w:r>
      <w:r>
        <w:t xml:space="preserve"> </w:t>
      </w:r>
      <w:r>
        <w:t xml:space="preserve">“</w:t>
      </w:r>
      <w:r>
        <w:rPr>
          <w:bCs/>
          <w:b/>
        </w:rPr>
        <w:t xml:space="preserve">Service</w:t>
      </w:r>
      <w:r>
        <w:t xml:space="preserve">”</w:t>
      </w:r>
      <w:r>
        <w:t xml:space="preserve">), or otherwise interact with us.</w:t>
      </w:r>
    </w:p>
    <w:p>
      <w:pPr>
        <w:pStyle w:val="BodyText"/>
      </w:pPr>
      <w:r>
        <w:t xml:space="preserve">We are committed to protecting your privacy and being transparent about our data practices. Please read this policy carefully. By using our Service, you agree to the practices described here.</w:t>
      </w:r>
    </w:p>
    <w:p>
      <w:r>
        <w:pict>
          <v:rect style="width:0;height:1.5pt" o:hralign="center" o:hrstd="t" o:hr="t"/>
        </w:pict>
      </w:r>
    </w:p>
    <w:bookmarkStart w:id="20" w:name="who-this-policy-applies-to"/>
    <w:p>
      <w:pPr>
        <w:pStyle w:val="Heading2"/>
      </w:pPr>
      <w:r>
        <w:t xml:space="preserve">1. Who This Policy Applies To</w:t>
      </w:r>
    </w:p>
    <w:p>
      <w:pPr>
        <w:pStyle w:val="FirstParagraph"/>
      </w:pPr>
      <w:r>
        <w:t xml:space="preserve">This Policy applies globally to visitors of our website and users of our Service, regardless of location. Where required by specific regional laws (such as the EU/UK GDPR, India’s Digital Personal Data Protection Act, or U.S. state privacy laws), we intend to comply with those additional requirements as applicable — see Section 11.</w:t>
      </w:r>
    </w:p>
    <w:p>
      <w:r>
        <w:pict>
          <v:rect style="width:0;height:1.5pt" o:hralign="center" o:hrstd="t" o:hr="t"/>
        </w:pict>
      </w:r>
    </w:p>
    <w:bookmarkEnd w:id="20"/>
    <w:bookmarkStart w:id="23" w:name="X14d8e3eb111de6d7ec8d168fed176f22962c650"/>
    <w:p>
      <w:pPr>
        <w:pStyle w:val="Heading2"/>
      </w:pPr>
      <w:r>
        <w:t xml:space="preserve">2. Two Roles We Play: Data Controller vs. Data Processor</w:t>
      </w:r>
    </w:p>
    <w:p>
      <w:pPr>
        <w:pStyle w:val="FirstParagraph"/>
      </w:pPr>
      <w:r>
        <w:t xml:space="preserve">This distinction matters because our Service is a marketing and sales automation tool, and it’s important you understand which role applies to which data.</w:t>
      </w:r>
    </w:p>
    <w:bookmarkStart w:id="21" w:name="as-a-data-controller"/>
    <w:p>
      <w:pPr>
        <w:pStyle w:val="Heading3"/>
      </w:pPr>
      <w:r>
        <w:t xml:space="preserve">2.1 As a Data Controller</w:t>
      </w:r>
    </w:p>
    <w:p>
      <w:pPr>
        <w:pStyle w:val="FirstParagraph"/>
      </w:pPr>
      <w:r>
        <w:t xml:space="preserve">When we collect information directly from</w:t>
      </w:r>
      <w:r>
        <w:t xml:space="preserve"> </w:t>
      </w:r>
      <w:r>
        <w:rPr>
          <w:bCs/>
          <w:b/>
        </w:rPr>
        <w:t xml:space="preserve">you</w:t>
      </w:r>
      <w:r>
        <w:t xml:space="preserve"> </w:t>
      </w:r>
      <w:r>
        <w:t xml:space="preserve">— for example, your name, email, or contact details when you sign up, subscribe to updates, request a demo, or contact us — we act as the</w:t>
      </w:r>
      <w:r>
        <w:t xml:space="preserve"> </w:t>
      </w:r>
      <w:r>
        <w:rPr>
          <w:bCs/>
          <w:b/>
        </w:rPr>
        <w:t xml:space="preserve">Data Controller</w:t>
      </w:r>
      <w:r>
        <w:t xml:space="preserve">. We decide how and why this data is used, as described in this Policy.</w:t>
      </w:r>
    </w:p>
    <w:bookmarkEnd w:id="21"/>
    <w:bookmarkStart w:id="22" w:name="as-a-data-processor"/>
    <w:p>
      <w:pPr>
        <w:pStyle w:val="Heading3"/>
      </w:pPr>
      <w:r>
        <w:t xml:space="preserve">2.2 As a Data Processor</w:t>
      </w:r>
    </w:p>
    <w:p>
      <w:pPr>
        <w:pStyle w:val="FirstParagraph"/>
      </w:pPr>
      <w:r>
        <w:t xml:space="preserve">Once our Service is live, our customers (businesses using our platform) will be able to upload, sync, or input</w:t>
      </w:r>
      <w:r>
        <w:t xml:space="preserve"> </w:t>
      </w:r>
      <w:r>
        <w:rPr>
          <w:bCs/>
          <w:b/>
        </w:rPr>
        <w:t xml:space="preserve">their own contacts, leads, or customer data</w:t>
      </w:r>
      <w:r>
        <w:t xml:space="preserve"> </w:t>
      </w:r>
      <w:r>
        <w:t xml:space="preserve">(</w:t>
      </w:r>
      <w:r>
        <w:t xml:space="preserve">“</w:t>
      </w:r>
      <w:r>
        <w:rPr>
          <w:bCs/>
          <w:b/>
        </w:rPr>
        <w:t xml:space="preserve">Customer Data</w:t>
      </w:r>
      <w:r>
        <w:t xml:space="preserve">”</w:t>
      </w:r>
      <w:r>
        <w:t xml:space="preserve">) into our tool in order to run marketing and sales automation workflows. In this scenario,</w:t>
      </w:r>
      <w:r>
        <w:t xml:space="preserve"> </w:t>
      </w:r>
      <w:r>
        <w:rPr>
          <w:bCs/>
          <w:b/>
        </w:rPr>
        <w:t xml:space="preserve">we act only as a Data Processor</w:t>
      </w:r>
      <w:r>
        <w:t xml:space="preserve"> </w:t>
      </w:r>
      <w:r>
        <w:t xml:space="preserve">on behalf of our customers, who remain the Data Controller of that data. We will:</w:t>
      </w:r>
    </w:p>
    <w:p>
      <w:pPr>
        <w:numPr>
          <w:ilvl w:val="0"/>
          <w:numId w:val="1001"/>
        </w:numPr>
        <w:pStyle w:val="Compact"/>
      </w:pPr>
      <w:r>
        <w:t xml:space="preserve">Process Customer Data only as instructed by our customer (the Data Controller),</w:t>
      </w:r>
    </w:p>
    <w:p>
      <w:pPr>
        <w:numPr>
          <w:ilvl w:val="0"/>
          <w:numId w:val="1001"/>
        </w:numPr>
        <w:pStyle w:val="Compact"/>
      </w:pPr>
      <w:r>
        <w:t xml:space="preserve">Not use Customer Data for our own independent purposes,</w:t>
      </w:r>
    </w:p>
    <w:p>
      <w:pPr>
        <w:numPr>
          <w:ilvl w:val="0"/>
          <w:numId w:val="1001"/>
        </w:numPr>
        <w:pStyle w:val="Compact"/>
      </w:pPr>
      <w:r>
        <w:t xml:space="preserve">Implement appropriate security safeguards,</w:t>
      </w:r>
    </w:p>
    <w:p>
      <w:pPr>
        <w:numPr>
          <w:ilvl w:val="0"/>
          <w:numId w:val="1001"/>
        </w:numPr>
        <w:pStyle w:val="Compact"/>
      </w:pPr>
      <w:r>
        <w:t xml:space="preserve">Support our customers in meeting their own legal obligations (such as responding to data subject requests).</w:t>
      </w:r>
    </w:p>
    <w:p>
      <w:pPr>
        <w:pStyle w:val="FirstParagraph"/>
      </w:pPr>
      <w:r>
        <w:t xml:space="preserve">A separate Data Processing Agreement (DPA) governs this relationship in detail and is made available to business customers as part of our commercial terms upon sign-up. The DPA sets out our obligations regarding confidentiality, security, sub-processing, data subject request assistance, and data return or deletion upon termination of the customer relationship.</w:t>
      </w:r>
    </w:p>
    <w:p>
      <w:r>
        <w:pict>
          <v:rect style="width:0;height:1.5pt" o:hralign="center" o:hrstd="t" o:hr="t"/>
        </w:pict>
      </w:r>
    </w:p>
    <w:bookmarkEnd w:id="22"/>
    <w:bookmarkEnd w:id="23"/>
    <w:bookmarkStart w:id="27" w:name="information-we-collect"/>
    <w:p>
      <w:pPr>
        <w:pStyle w:val="Heading2"/>
      </w:pPr>
      <w:r>
        <w:t xml:space="preserve">3. Information We Collect</w:t>
      </w:r>
    </w:p>
    <w:bookmarkStart w:id="24" w:name="information-you-provide-directly"/>
    <w:p>
      <w:pPr>
        <w:pStyle w:val="Heading3"/>
      </w:pPr>
      <w:r>
        <w:t xml:space="preserve">3.1 Information You Provide Directly</w:t>
      </w:r>
    </w:p>
    <w:p>
      <w:pPr>
        <w:pStyle w:val="FirstParagraph"/>
      </w:pPr>
      <w:r>
        <w:t xml:space="preserve">At this stage (pre-launch), we collect only the minimum information necessary, such as:</w:t>
      </w:r>
    </w:p>
    <w:p>
      <w:pPr>
        <w:numPr>
          <w:ilvl w:val="0"/>
          <w:numId w:val="1002"/>
        </w:numPr>
        <w:pStyle w:val="Compact"/>
      </w:pPr>
      <w:r>
        <w:rPr>
          <w:bCs/>
          <w:b/>
        </w:rPr>
        <w:t xml:space="preserve">Name</w:t>
      </w:r>
    </w:p>
    <w:p>
      <w:pPr>
        <w:numPr>
          <w:ilvl w:val="0"/>
          <w:numId w:val="1002"/>
        </w:numPr>
        <w:pStyle w:val="Compact"/>
      </w:pPr>
      <w:r>
        <w:rPr>
          <w:bCs/>
          <w:b/>
        </w:rPr>
        <w:t xml:space="preserve">Email address</w:t>
      </w:r>
    </w:p>
    <w:p>
      <w:pPr>
        <w:numPr>
          <w:ilvl w:val="0"/>
          <w:numId w:val="1002"/>
        </w:numPr>
        <w:pStyle w:val="Compact"/>
      </w:pPr>
      <w:r>
        <w:rPr>
          <w:bCs/>
          <w:b/>
        </w:rPr>
        <w:t xml:space="preserve">Contact information</w:t>
      </w:r>
      <w:r>
        <w:t xml:space="preserve"> </w:t>
      </w:r>
      <w:r>
        <w:t xml:space="preserve">(e.g. phone number, company name, if provided)</w:t>
      </w:r>
    </w:p>
    <w:p>
      <w:pPr>
        <w:pStyle w:val="FirstParagraph"/>
      </w:pPr>
      <w:r>
        <w:t xml:space="preserve">This may be collected through forms such as waitlist sign-ups, demo requests, newsletter subscriptions, or direct email correspondence (e.g. to ogengine.office@gmail.com).</w:t>
      </w:r>
    </w:p>
    <w:p>
      <w:pPr>
        <w:pStyle w:val="BodyText"/>
      </w:pPr>
      <w:r>
        <w:t xml:space="preserve">Once the Service becomes generally available, we will also collect, directly from account holders:</w:t>
      </w:r>
    </w:p>
    <w:p>
      <w:pPr>
        <w:numPr>
          <w:ilvl w:val="0"/>
          <w:numId w:val="1003"/>
        </w:numPr>
        <w:pStyle w:val="Compact"/>
      </w:pPr>
      <w:r>
        <w:rPr>
          <w:bCs/>
          <w:b/>
        </w:rPr>
        <w:t xml:space="preserve">Account and profile data</w:t>
      </w:r>
      <w:r>
        <w:t xml:space="preserve"> </w:t>
      </w:r>
      <w:r>
        <w:t xml:space="preserve">— such as company name, job title, and account credentials</w:t>
      </w:r>
    </w:p>
    <w:p>
      <w:pPr>
        <w:numPr>
          <w:ilvl w:val="0"/>
          <w:numId w:val="1003"/>
        </w:numPr>
        <w:pStyle w:val="Compact"/>
      </w:pPr>
      <w:r>
        <w:rPr>
          <w:bCs/>
          <w:b/>
        </w:rPr>
        <w:t xml:space="preserve">Billing data</w:t>
      </w:r>
      <w:r>
        <w:t xml:space="preserve"> </w:t>
      </w:r>
      <w:r>
        <w:t xml:space="preserve">— such as billing address and payment details, which will be processed securely through a payment processor rather than stored directly on our servers</w:t>
      </w:r>
    </w:p>
    <w:p>
      <w:pPr>
        <w:numPr>
          <w:ilvl w:val="0"/>
          <w:numId w:val="1003"/>
        </w:numPr>
        <w:pStyle w:val="Compact"/>
      </w:pPr>
      <w:r>
        <w:rPr>
          <w:bCs/>
          <w:b/>
        </w:rPr>
        <w:t xml:space="preserve">Usage data</w:t>
      </w:r>
      <w:r>
        <w:t xml:space="preserve"> </w:t>
      </w:r>
      <w:r>
        <w:t xml:space="preserve">— such as feature usage, login activity, and support interactions, used to operate, maintain, and improve the Service</w:t>
      </w:r>
    </w:p>
    <w:p>
      <w:pPr>
        <w:numPr>
          <w:ilvl w:val="0"/>
          <w:numId w:val="1003"/>
        </w:numPr>
        <w:pStyle w:val="Compact"/>
      </w:pPr>
      <w:r>
        <w:rPr>
          <w:bCs/>
          <w:b/>
        </w:rPr>
        <w:t xml:space="preserve">Communications</w:t>
      </w:r>
      <w:r>
        <w:t xml:space="preserve"> </w:t>
      </w:r>
      <w:r>
        <w:t xml:space="preserve">— records of correspondence with our support or sales team</w:t>
      </w:r>
    </w:p>
    <w:p>
      <w:pPr>
        <w:pStyle w:val="FirstParagraph"/>
      </w:pPr>
      <w:r>
        <w:t xml:space="preserve">We will only collect the data reasonably necessary to operate and improve the Service, and this Policy will be updated as new categories of data collection are introduced.</w:t>
      </w:r>
    </w:p>
    <w:bookmarkEnd w:id="24"/>
    <w:bookmarkStart w:id="25" w:name="X8f85fc00dbbb2d31b5f1475e3ce3f5df2ed5340"/>
    <w:p>
      <w:pPr>
        <w:pStyle w:val="Heading3"/>
      </w:pPr>
      <w:r>
        <w:t xml:space="preserve">3.2 Information Collected Automatically (Cookies &amp; Similar Technologies)</w:t>
      </w:r>
    </w:p>
    <w:p>
      <w:pPr>
        <w:pStyle w:val="FirstParagraph"/>
      </w:pPr>
      <w:r>
        <w:t xml:space="preserve">Our website uses cookies and similar tracking technologies to operate and improve the site, understand visitor behavior, and (in future) support marketing analytics. This may include:</w:t>
      </w:r>
    </w:p>
    <w:p>
      <w:pPr>
        <w:numPr>
          <w:ilvl w:val="0"/>
          <w:numId w:val="1004"/>
        </w:numPr>
        <w:pStyle w:val="Compact"/>
      </w:pPr>
      <w:r>
        <w:t xml:space="preserve">IP address</w:t>
      </w:r>
    </w:p>
    <w:p>
      <w:pPr>
        <w:numPr>
          <w:ilvl w:val="0"/>
          <w:numId w:val="1004"/>
        </w:numPr>
        <w:pStyle w:val="Compact"/>
      </w:pPr>
      <w:r>
        <w:t xml:space="preserve">Browser type and device information</w:t>
      </w:r>
    </w:p>
    <w:p>
      <w:pPr>
        <w:numPr>
          <w:ilvl w:val="0"/>
          <w:numId w:val="1004"/>
        </w:numPr>
        <w:pStyle w:val="Compact"/>
      </w:pPr>
      <w:r>
        <w:t xml:space="preserve">Pages visited and time spent on site</w:t>
      </w:r>
    </w:p>
    <w:p>
      <w:pPr>
        <w:numPr>
          <w:ilvl w:val="0"/>
          <w:numId w:val="1004"/>
        </w:numPr>
        <w:pStyle w:val="Compact"/>
      </w:pPr>
      <w:r>
        <w:t xml:space="preserve">Referring website/source</w:t>
      </w:r>
    </w:p>
    <w:p>
      <w:pPr>
        <w:pStyle w:val="FirstParagraph"/>
      </w:pPr>
      <w:r>
        <w:t xml:space="preserve">You can control cookies at any time through your browser settings, including blocking or deleting them. Please note that disabling cookies may affect certain features of our website.</w:t>
      </w:r>
    </w:p>
    <w:p>
      <w:pPr>
        <w:pStyle w:val="BodyText"/>
      </w:pPr>
      <w:r>
        <w:t xml:space="preserve">We use the following categories of cookies:</w:t>
      </w:r>
    </w:p>
    <w:p>
      <w:pPr>
        <w:numPr>
          <w:ilvl w:val="0"/>
          <w:numId w:val="1005"/>
        </w:numPr>
        <w:pStyle w:val="Compact"/>
      </w:pPr>
      <w:r>
        <w:rPr>
          <w:bCs/>
          <w:b/>
        </w:rPr>
        <w:t xml:space="preserve">Strictly necessary cookies</w:t>
      </w:r>
      <w:r>
        <w:t xml:space="preserve"> </w:t>
      </w:r>
      <w:r>
        <w:t xml:space="preserve">— required for the website to function correctly (e.g. remembering your cookie preferences)</w:t>
      </w:r>
    </w:p>
    <w:p>
      <w:pPr>
        <w:numPr>
          <w:ilvl w:val="0"/>
          <w:numId w:val="1005"/>
        </w:numPr>
        <w:pStyle w:val="Compact"/>
      </w:pPr>
      <w:r>
        <w:rPr>
          <w:bCs/>
          <w:b/>
        </w:rPr>
        <w:t xml:space="preserve">Performance and analytics cookies</w:t>
      </w:r>
      <w:r>
        <w:t xml:space="preserve"> </w:t>
      </w:r>
      <w:r>
        <w:t xml:space="preserve">— help us understand how visitors use our site so we can improve it</w:t>
      </w:r>
    </w:p>
    <w:p>
      <w:pPr>
        <w:numPr>
          <w:ilvl w:val="0"/>
          <w:numId w:val="1005"/>
        </w:numPr>
        <w:pStyle w:val="Compact"/>
      </w:pPr>
      <w:r>
        <w:rPr>
          <w:bCs/>
          <w:b/>
        </w:rPr>
        <w:t xml:space="preserve">Functionality cookies</w:t>
      </w:r>
      <w:r>
        <w:t xml:space="preserve"> </w:t>
      </w:r>
      <w:r>
        <w:t xml:space="preserve">— remember choices you make to provide a more personalized experience</w:t>
      </w:r>
    </w:p>
    <w:p>
      <w:pPr>
        <w:pStyle w:val="FirstParagraph"/>
      </w:pPr>
      <w:r>
        <w:t xml:space="preserve">As our Service and website evolve, we will introduce a cookie consent banner allowing visitors to accept or decline non-essential cookies, in line with applicable regional requirements.</w:t>
      </w:r>
    </w:p>
    <w:bookmarkEnd w:id="25"/>
    <w:bookmarkStart w:id="26" w:name="Xfcaf29ada5974fdfb7c742d173e9fc1f98bd049"/>
    <w:p>
      <w:pPr>
        <w:pStyle w:val="Heading3"/>
      </w:pPr>
      <w:r>
        <w:t xml:space="preserve">3.3 Customer Data (Processed on Behalf of Business Customers)</w:t>
      </w:r>
    </w:p>
    <w:p>
      <w:pPr>
        <w:pStyle w:val="FirstParagraph"/>
      </w:pPr>
      <w:r>
        <w:t xml:space="preserve">Once the Service is live, business customers may upload contacts, leads, or other data into the platform to use our marketing and sales automation features. As described in Section 2.2, we process this data strictly as instructed by our customers.</w:t>
      </w:r>
    </w:p>
    <w:p>
      <w:r>
        <w:pict>
          <v:rect style="width:0;height:1.5pt" o:hralign="center" o:hrstd="t" o:hr="t"/>
        </w:pict>
      </w:r>
    </w:p>
    <w:bookmarkEnd w:id="26"/>
    <w:bookmarkEnd w:id="27"/>
    <w:bookmarkStart w:id="28" w:name="how-we-use-information"/>
    <w:p>
      <w:pPr>
        <w:pStyle w:val="Heading2"/>
      </w:pPr>
      <w:r>
        <w:t xml:space="preserve">4. How We Use Information</w:t>
      </w:r>
    </w:p>
    <w:p>
      <w:pPr>
        <w:pStyle w:val="FirstParagraph"/>
      </w:pPr>
      <w:r>
        <w:t xml:space="preserve">We use the information described in Section 3.1 and 3.2 to:</w:t>
      </w:r>
    </w:p>
    <w:p>
      <w:pPr>
        <w:numPr>
          <w:ilvl w:val="0"/>
          <w:numId w:val="1006"/>
        </w:numPr>
        <w:pStyle w:val="Compact"/>
      </w:pPr>
      <w:r>
        <w:t xml:space="preserve">Respond to inquiries and demo requests</w:t>
      </w:r>
    </w:p>
    <w:p>
      <w:pPr>
        <w:numPr>
          <w:ilvl w:val="0"/>
          <w:numId w:val="1006"/>
        </w:numPr>
        <w:pStyle w:val="Compact"/>
      </w:pPr>
      <w:r>
        <w:t xml:space="preserve">Send updates about our product launch (with your consent, where required)</w:t>
      </w:r>
    </w:p>
    <w:p>
      <w:pPr>
        <w:numPr>
          <w:ilvl w:val="0"/>
          <w:numId w:val="1006"/>
        </w:numPr>
        <w:pStyle w:val="Compact"/>
      </w:pPr>
      <w:r>
        <w:t xml:space="preserve">Improve our website and understand visitor interest</w:t>
      </w:r>
    </w:p>
    <w:p>
      <w:pPr>
        <w:numPr>
          <w:ilvl w:val="0"/>
          <w:numId w:val="1006"/>
        </w:numPr>
        <w:pStyle w:val="Compact"/>
      </w:pPr>
      <w:r>
        <w:t xml:space="preserve">Maintain the security and integrity of our systems</w:t>
      </w:r>
    </w:p>
    <w:p>
      <w:pPr>
        <w:numPr>
          <w:ilvl w:val="0"/>
          <w:numId w:val="1006"/>
        </w:numPr>
        <w:pStyle w:val="Compact"/>
      </w:pPr>
      <w:r>
        <w:t xml:space="preserve">Communicate important notices about our Service</w:t>
      </w:r>
    </w:p>
    <w:p>
      <w:pPr>
        <w:pStyle w:val="FirstParagraph"/>
      </w:pPr>
      <w:r>
        <w:t xml:space="preserve">Once the Service is live, we will also use information to:</w:t>
      </w:r>
    </w:p>
    <w:p>
      <w:pPr>
        <w:numPr>
          <w:ilvl w:val="0"/>
          <w:numId w:val="1007"/>
        </w:numPr>
        <w:pStyle w:val="Compact"/>
      </w:pPr>
      <w:r>
        <w:t xml:space="preserve">Create and manage customer accounts</w:t>
      </w:r>
    </w:p>
    <w:p>
      <w:pPr>
        <w:numPr>
          <w:ilvl w:val="0"/>
          <w:numId w:val="1007"/>
        </w:numPr>
        <w:pStyle w:val="Compact"/>
      </w:pPr>
      <w:r>
        <w:t xml:space="preserve">Deliver, operate, and maintain the core features of the Service</w:t>
      </w:r>
    </w:p>
    <w:p>
      <w:pPr>
        <w:numPr>
          <w:ilvl w:val="0"/>
          <w:numId w:val="1007"/>
        </w:numPr>
        <w:pStyle w:val="Compact"/>
      </w:pPr>
      <w:r>
        <w:t xml:space="preserve">Process billing and payments</w:t>
      </w:r>
    </w:p>
    <w:p>
      <w:pPr>
        <w:numPr>
          <w:ilvl w:val="0"/>
          <w:numId w:val="1007"/>
        </w:numPr>
        <w:pStyle w:val="Compact"/>
      </w:pPr>
      <w:r>
        <w:t xml:space="preserve">Provide customer support and respond to service requests</w:t>
      </w:r>
    </w:p>
    <w:p>
      <w:pPr>
        <w:numPr>
          <w:ilvl w:val="0"/>
          <w:numId w:val="1007"/>
        </w:numPr>
        <w:pStyle w:val="Compact"/>
      </w:pPr>
      <w:r>
        <w:t xml:space="preserve">Analyze product usage to improve performance, reliability, and features</w:t>
      </w:r>
    </w:p>
    <w:p>
      <w:pPr>
        <w:numPr>
          <w:ilvl w:val="0"/>
          <w:numId w:val="1007"/>
        </w:numPr>
        <w:pStyle w:val="Compact"/>
      </w:pPr>
      <w:r>
        <w:t xml:space="preserve">Detect, prevent, and address technical issues, fraud, or misuse of the Service</w:t>
      </w:r>
    </w:p>
    <w:p>
      <w:pPr>
        <w:numPr>
          <w:ilvl w:val="0"/>
          <w:numId w:val="1007"/>
        </w:numPr>
        <w:pStyle w:val="Compact"/>
      </w:pPr>
      <w:r>
        <w:t xml:space="preserve">Send Service-related communications, such as updates, security alerts, and administrative notices</w:t>
      </w:r>
    </w:p>
    <w:p>
      <w:r>
        <w:pict>
          <v:rect style="width:0;height:1.5pt" o:hralign="center" o:hrstd="t" o:hr="t"/>
        </w:pict>
      </w:r>
    </w:p>
    <w:bookmarkEnd w:id="28"/>
    <w:bookmarkStart w:id="29" w:name="X278e2e7a734c936e45ddd94b5c74086261e1be1"/>
    <w:p>
      <w:pPr>
        <w:pStyle w:val="Heading2"/>
      </w:pPr>
      <w:r>
        <w:t xml:space="preserve">5. Legal Basis for Processing (Where Applicable)</w:t>
      </w:r>
    </w:p>
    <w:p>
      <w:pPr>
        <w:pStyle w:val="FirstParagraph"/>
      </w:pPr>
      <w:r>
        <w:t xml:space="preserve">Where laws such as the GDPR apply, we rely on the following legal bases:</w:t>
      </w:r>
    </w:p>
    <w:p>
      <w:pPr>
        <w:numPr>
          <w:ilvl w:val="0"/>
          <w:numId w:val="1008"/>
        </w:numPr>
        <w:pStyle w:val="Compact"/>
      </w:pPr>
      <w:r>
        <w:rPr>
          <w:bCs/>
          <w:b/>
        </w:rPr>
        <w:t xml:space="preserve">Consent</w:t>
      </w:r>
      <w:r>
        <w:t xml:space="preserve"> </w:t>
      </w:r>
      <w:r>
        <w:t xml:space="preserve">— e.g., when you sign up for updates or a demo</w:t>
      </w:r>
    </w:p>
    <w:p>
      <w:pPr>
        <w:numPr>
          <w:ilvl w:val="0"/>
          <w:numId w:val="1008"/>
        </w:numPr>
        <w:pStyle w:val="Compact"/>
      </w:pPr>
      <w:r>
        <w:rPr>
          <w:bCs/>
          <w:b/>
        </w:rPr>
        <w:t xml:space="preserve">Legitimate interest</w:t>
      </w:r>
      <w:r>
        <w:t xml:space="preserve"> </w:t>
      </w:r>
      <w:r>
        <w:t xml:space="preserve">— e.g., improving our website, responding to inquiries</w:t>
      </w:r>
    </w:p>
    <w:p>
      <w:pPr>
        <w:numPr>
          <w:ilvl w:val="0"/>
          <w:numId w:val="1008"/>
        </w:numPr>
        <w:pStyle w:val="Compact"/>
      </w:pPr>
      <w:r>
        <w:rPr>
          <w:bCs/>
          <w:b/>
        </w:rPr>
        <w:t xml:space="preserve">Contractual necessity</w:t>
      </w:r>
      <w:r>
        <w:t xml:space="preserve"> </w:t>
      </w:r>
      <w:r>
        <w:t xml:space="preserve">— e.g., once you become a paying customer, to deliver the Service</w:t>
      </w:r>
    </w:p>
    <w:p>
      <w:pPr>
        <w:numPr>
          <w:ilvl w:val="0"/>
          <w:numId w:val="1008"/>
        </w:numPr>
        <w:pStyle w:val="Compact"/>
      </w:pPr>
      <w:r>
        <w:rPr>
          <w:bCs/>
          <w:b/>
        </w:rPr>
        <w:t xml:space="preserve">Legal obligation</w:t>
      </w:r>
      <w:r>
        <w:t xml:space="preserve"> </w:t>
      </w:r>
      <w:r>
        <w:t xml:space="preserve">— where we must retain or disclose data to comply with law</w:t>
      </w:r>
    </w:p>
    <w:p>
      <w:r>
        <w:pict>
          <v:rect style="width:0;height:1.5pt" o:hralign="center" o:hrstd="t" o:hr="t"/>
        </w:pict>
      </w:r>
    </w:p>
    <w:bookmarkEnd w:id="29"/>
    <w:bookmarkStart w:id="30" w:name="X195846fed3781c24c44b5b8efab3e4c56383cb6"/>
    <w:p>
      <w:pPr>
        <w:pStyle w:val="Heading2"/>
      </w:pPr>
      <w:r>
        <w:t xml:space="preserve">6. Third-Party Sharing and Service Providers</w:t>
      </w:r>
    </w:p>
    <w:p>
      <w:pPr>
        <w:pStyle w:val="FirstParagraph"/>
      </w:pPr>
      <w:r>
        <w:t xml:space="preserve">At this time, we do</w:t>
      </w:r>
      <w:r>
        <w:t xml:space="preserve"> </w:t>
      </w:r>
      <w:r>
        <w:rPr>
          <w:bCs/>
          <w:b/>
        </w:rPr>
        <w:t xml:space="preserve">not</w:t>
      </w:r>
      <w:r>
        <w:t xml:space="preserve"> </w:t>
      </w:r>
      <w:r>
        <w:t xml:space="preserve">use third-party tools or services to process personal data — data collected is used only within our own systems, on infrastructure that we directly control.</w:t>
      </w:r>
    </w:p>
    <w:p>
      <w:pPr>
        <w:pStyle w:val="BodyText"/>
      </w:pPr>
      <w:r>
        <w:t xml:space="preserve">As our Service grows, we anticipate engaging trusted third-party service providers to help us operate — for example, cloud hosting providers, payment processors, email delivery services, and analytics platforms. Any such provider will be contractually bound to protect personal information, will be permitted to use it only to provide services to us, and this Policy will be updated to name each provider and its purpose as they are onboarded.</w:t>
      </w:r>
    </w:p>
    <w:p>
      <w:pPr>
        <w:pStyle w:val="BodyText"/>
      </w:pPr>
      <w:r>
        <w:t xml:space="preserve">We do not sell personal information to third parties, and we will never do so.</w:t>
      </w:r>
    </w:p>
    <w:p>
      <w:pPr>
        <w:pStyle w:val="BodyText"/>
      </w:pPr>
      <w:r>
        <w:t xml:space="preserve">We may disclose personal information where required to comply with applicable law, respond to lawful requests from public authorities, or protect our rights, property, or the safety of our users and the public.</w:t>
      </w:r>
    </w:p>
    <w:p>
      <w:r>
        <w:pict>
          <v:rect style="width:0;height:1.5pt" o:hralign="center" o:hrstd="t" o:hr="t"/>
        </w:pict>
      </w:r>
    </w:p>
    <w:bookmarkEnd w:id="30"/>
    <w:bookmarkStart w:id="31" w:name="data-security"/>
    <w:p>
      <w:pPr>
        <w:pStyle w:val="Heading2"/>
      </w:pPr>
      <w:r>
        <w:t xml:space="preserve">7. Data Security</w:t>
      </w:r>
    </w:p>
    <w:p>
      <w:pPr>
        <w:pStyle w:val="FirstParagraph"/>
      </w:pPr>
      <w:r>
        <w:t xml:space="preserve">We take reasonable technical and organizational measures to protect the information we collect from unauthorized access, alteration, disclosure, or destruction. These measures include:</w:t>
      </w:r>
    </w:p>
    <w:p>
      <w:pPr>
        <w:numPr>
          <w:ilvl w:val="0"/>
          <w:numId w:val="1009"/>
        </w:numPr>
        <w:pStyle w:val="Compact"/>
      </w:pPr>
      <w:r>
        <w:rPr>
          <w:bCs/>
          <w:b/>
        </w:rPr>
        <w:t xml:space="preserve">Encryption</w:t>
      </w:r>
      <w:r>
        <w:t xml:space="preserve"> </w:t>
      </w:r>
      <w:r>
        <w:t xml:space="preserve">of personal information in transit (e.g. via HTTPS/TLS) and, where applicable, at rest</w:t>
      </w:r>
    </w:p>
    <w:p>
      <w:pPr>
        <w:numPr>
          <w:ilvl w:val="0"/>
          <w:numId w:val="1009"/>
        </w:numPr>
        <w:pStyle w:val="Compact"/>
      </w:pPr>
      <w:r>
        <w:rPr>
          <w:bCs/>
          <w:b/>
        </w:rPr>
        <w:t xml:space="preserve">Access controls</w:t>
      </w:r>
      <w:r>
        <w:t xml:space="preserve">, limiting access to personal information to authorized personnel on a need-to-know basis</w:t>
      </w:r>
    </w:p>
    <w:p>
      <w:pPr>
        <w:numPr>
          <w:ilvl w:val="0"/>
          <w:numId w:val="1009"/>
        </w:numPr>
        <w:pStyle w:val="Compact"/>
      </w:pPr>
      <w:r>
        <w:rPr>
          <w:bCs/>
          <w:b/>
        </w:rPr>
        <w:t xml:space="preserve">Internal data-handling practices</w:t>
      </w:r>
      <w:r>
        <w:t xml:space="preserve">, including confidentiality obligations for anyone who may access personal data</w:t>
      </w:r>
    </w:p>
    <w:p>
      <w:pPr>
        <w:numPr>
          <w:ilvl w:val="0"/>
          <w:numId w:val="1009"/>
        </w:numPr>
        <w:pStyle w:val="Compact"/>
      </w:pPr>
      <w:r>
        <w:rPr>
          <w:bCs/>
          <w:b/>
        </w:rPr>
        <w:t xml:space="preserve">Regular review</w:t>
      </w:r>
      <w:r>
        <w:t xml:space="preserve"> </w:t>
      </w:r>
      <w:r>
        <w:t xml:space="preserve">of our security practices as the Service and team grow</w:t>
      </w:r>
    </w:p>
    <w:p>
      <w:pPr>
        <w:numPr>
          <w:ilvl w:val="0"/>
          <w:numId w:val="1009"/>
        </w:numPr>
        <w:pStyle w:val="Compact"/>
      </w:pPr>
      <w:r>
        <w:rPr>
          <w:bCs/>
          <w:b/>
        </w:rPr>
        <w:t xml:space="preserve">Incident response procedures</w:t>
      </w:r>
      <w:r>
        <w:t xml:space="preserve">, so that in the unlikely event of a data breach, we can investigate, contain, and notify affected parties and authorities as required by applicable law</w:t>
      </w:r>
    </w:p>
    <w:p>
      <w:pPr>
        <w:pStyle w:val="FirstParagraph"/>
      </w:pPr>
      <w:r>
        <w:t xml:space="preserve">No method of transmission or storage is 100% secure, and while we work hard to protect personal information, we cannot guarantee absolute security.</w:t>
      </w:r>
    </w:p>
    <w:p>
      <w:r>
        <w:pict>
          <v:rect style="width:0;height:1.5pt" o:hralign="center" o:hrstd="t" o:hr="t"/>
        </w:pict>
      </w:r>
    </w:p>
    <w:bookmarkEnd w:id="31"/>
    <w:bookmarkStart w:id="32" w:name="data-retention"/>
    <w:p>
      <w:pPr>
        <w:pStyle w:val="Heading2"/>
      </w:pPr>
      <w:r>
        <w:t xml:space="preserve">8. Data Retention</w:t>
      </w:r>
    </w:p>
    <w:p>
      <w:pPr>
        <w:pStyle w:val="FirstParagraph"/>
      </w:pPr>
      <w:r>
        <w:t xml:space="preserve">We retain personal information only for as long as necessary to fulfill the purposes described in this Policy, unless a longer retention period is required by law. As a general practice:</w:t>
      </w:r>
    </w:p>
    <w:p>
      <w:pPr>
        <w:numPr>
          <w:ilvl w:val="0"/>
          <w:numId w:val="1010"/>
        </w:numPr>
        <w:pStyle w:val="Compact"/>
      </w:pPr>
      <w:r>
        <w:rPr>
          <w:bCs/>
          <w:b/>
        </w:rPr>
        <w:t xml:space="preserve">Waitlist, demo request, and newsletter data</w:t>
      </w:r>
      <w:r>
        <w:t xml:space="preserve"> </w:t>
      </w:r>
      <w:r>
        <w:t xml:space="preserve">is retained for up to</w:t>
      </w:r>
      <w:r>
        <w:t xml:space="preserve"> </w:t>
      </w:r>
      <w:r>
        <w:rPr>
          <w:bCs/>
          <w:b/>
        </w:rPr>
        <w:t xml:space="preserve">24 months</w:t>
      </w:r>
      <w:r>
        <w:t xml:space="preserve"> </w:t>
      </w:r>
      <w:r>
        <w:t xml:space="preserve">from your last interaction with us, or until you unsubscribe or request deletion, whichever is earlier</w:t>
      </w:r>
    </w:p>
    <w:p>
      <w:pPr>
        <w:numPr>
          <w:ilvl w:val="0"/>
          <w:numId w:val="1010"/>
        </w:numPr>
        <w:pStyle w:val="Compact"/>
      </w:pPr>
      <w:r>
        <w:rPr>
          <w:bCs/>
          <w:b/>
        </w:rPr>
        <w:t xml:space="preserve">Account data</w:t>
      </w:r>
      <w:r>
        <w:t xml:space="preserve"> </w:t>
      </w:r>
      <w:r>
        <w:t xml:space="preserve">(once the Service is live) is retained for the duration of your active customer relationship with us, plus up to</w:t>
      </w:r>
      <w:r>
        <w:t xml:space="preserve"> </w:t>
      </w:r>
      <w:r>
        <w:rPr>
          <w:bCs/>
          <w:b/>
        </w:rPr>
        <w:t xml:space="preserve">90 days</w:t>
      </w:r>
      <w:r>
        <w:t xml:space="preserve"> </w:t>
      </w:r>
      <w:r>
        <w:t xml:space="preserve">after account closure to allow for account recovery, followed by secure deletion or anonymization</w:t>
      </w:r>
    </w:p>
    <w:p>
      <w:pPr>
        <w:numPr>
          <w:ilvl w:val="0"/>
          <w:numId w:val="1010"/>
        </w:numPr>
        <w:pStyle w:val="Compact"/>
      </w:pPr>
      <w:r>
        <w:rPr>
          <w:bCs/>
          <w:b/>
        </w:rPr>
        <w:t xml:space="preserve">Billing records</w:t>
      </w:r>
      <w:r>
        <w:t xml:space="preserve"> </w:t>
      </w:r>
      <w:r>
        <w:t xml:space="preserve">are retained for as long as required under applicable tax and accounting law, typically up to</w:t>
      </w:r>
      <w:r>
        <w:t xml:space="preserve"> </w:t>
      </w:r>
      <w:r>
        <w:rPr>
          <w:bCs/>
          <w:b/>
        </w:rPr>
        <w:t xml:space="preserve">7 years</w:t>
      </w:r>
    </w:p>
    <w:p>
      <w:pPr>
        <w:numPr>
          <w:ilvl w:val="0"/>
          <w:numId w:val="1010"/>
        </w:numPr>
        <w:pStyle w:val="Compact"/>
      </w:pPr>
      <w:r>
        <w:rPr>
          <w:bCs/>
          <w:b/>
        </w:rPr>
        <w:t xml:space="preserve">Customer Data</w:t>
      </w:r>
      <w:r>
        <w:t xml:space="preserve"> </w:t>
      </w:r>
      <w:r>
        <w:t xml:space="preserve">processed on behalf of business customers is retained and deleted strictly according to that customer’s instructions and our Data Processing Agreement, and will be deleted or returned upon termination of the customer relationship, subject to any legal retention obligations</w:t>
      </w:r>
    </w:p>
    <w:p>
      <w:r>
        <w:pict>
          <v:rect style="width:0;height:1.5pt" o:hralign="center" o:hrstd="t" o:hr="t"/>
        </w:pict>
      </w:r>
    </w:p>
    <w:bookmarkEnd w:id="32"/>
    <w:bookmarkStart w:id="33" w:name="your-rights"/>
    <w:p>
      <w:pPr>
        <w:pStyle w:val="Heading2"/>
      </w:pPr>
      <w:r>
        <w:t xml:space="preserve">9. Your Rights</w:t>
      </w:r>
    </w:p>
    <w:p>
      <w:pPr>
        <w:pStyle w:val="FirstParagraph"/>
      </w:pPr>
      <w:r>
        <w:t xml:space="preserve">Depending on your location, you may have rights regarding your personal data, including the right to:</w:t>
      </w:r>
    </w:p>
    <w:p>
      <w:pPr>
        <w:numPr>
          <w:ilvl w:val="0"/>
          <w:numId w:val="1011"/>
        </w:numPr>
        <w:pStyle w:val="Compact"/>
      </w:pPr>
      <w:r>
        <w:t xml:space="preserve">Access the personal data we hold about you</w:t>
      </w:r>
    </w:p>
    <w:p>
      <w:pPr>
        <w:numPr>
          <w:ilvl w:val="0"/>
          <w:numId w:val="1011"/>
        </w:numPr>
        <w:pStyle w:val="Compact"/>
      </w:pPr>
      <w:r>
        <w:t xml:space="preserve">Correct inaccurate data</w:t>
      </w:r>
    </w:p>
    <w:p>
      <w:pPr>
        <w:numPr>
          <w:ilvl w:val="0"/>
          <w:numId w:val="1011"/>
        </w:numPr>
        <w:pStyle w:val="Compact"/>
      </w:pPr>
      <w:r>
        <w:t xml:space="preserve">Request deletion of your data</w:t>
      </w:r>
    </w:p>
    <w:p>
      <w:pPr>
        <w:numPr>
          <w:ilvl w:val="0"/>
          <w:numId w:val="1011"/>
        </w:numPr>
        <w:pStyle w:val="Compact"/>
      </w:pPr>
      <w:r>
        <w:t xml:space="preserve">Object to or restrict certain processing</w:t>
      </w:r>
    </w:p>
    <w:p>
      <w:pPr>
        <w:numPr>
          <w:ilvl w:val="0"/>
          <w:numId w:val="1011"/>
        </w:numPr>
        <w:pStyle w:val="Compact"/>
      </w:pPr>
      <w:r>
        <w:t xml:space="preserve">Withdraw consent at any time (where processing is based on consent)</w:t>
      </w:r>
    </w:p>
    <w:p>
      <w:pPr>
        <w:numPr>
          <w:ilvl w:val="0"/>
          <w:numId w:val="1011"/>
        </w:numPr>
        <w:pStyle w:val="Compact"/>
      </w:pPr>
      <w:r>
        <w:t xml:space="preserve">Data portability (where applicable)</w:t>
      </w:r>
    </w:p>
    <w:p>
      <w:pPr>
        <w:pStyle w:val="FirstParagraph"/>
      </w:pPr>
      <w:r>
        <w:t xml:space="preserve">To exercise any of these rights, contact us at</w:t>
      </w:r>
      <w:r>
        <w:t xml:space="preserve"> </w:t>
      </w:r>
      <w:r>
        <w:rPr>
          <w:bCs/>
          <w:b/>
        </w:rPr>
        <w:t xml:space="preserve">ogengine.office@gmail.com</w:t>
      </w:r>
      <w:r>
        <w:t xml:space="preserve">.</w:t>
      </w:r>
    </w:p>
    <w:p>
      <w:pPr>
        <w:pStyle w:val="BodyText"/>
      </w:pPr>
      <w:r>
        <w:t xml:space="preserve">If our customers’ end-users (i.e., contacts/leads within Customer Data) wish to exercise such rights, they should contact the relevant business customer directly, as that business is the Data Controller of that data. We will support our customers in fulfilling such requests where required by our Data Processing Agreement.</w:t>
      </w:r>
    </w:p>
    <w:p>
      <w:r>
        <w:pict>
          <v:rect style="width:0;height:1.5pt" o:hralign="center" o:hrstd="t" o:hr="t"/>
        </w:pict>
      </w:r>
    </w:p>
    <w:bookmarkEnd w:id="33"/>
    <w:bookmarkStart w:id="34" w:name="childrens-privacy"/>
    <w:p>
      <w:pPr>
        <w:pStyle w:val="Heading2"/>
      </w:pPr>
      <w:r>
        <w:t xml:space="preserve">10. Children’s Privacy</w:t>
      </w:r>
    </w:p>
    <w:p>
      <w:pPr>
        <w:pStyle w:val="FirstParagraph"/>
      </w:pPr>
      <w:r>
        <w:t xml:space="preserve">Our Service is intended for business use and is not directed at individuals under the age of 18. We do not knowingly collect personal information from children.</w:t>
      </w:r>
    </w:p>
    <w:p>
      <w:r>
        <w:pict>
          <v:rect style="width:0;height:1.5pt" o:hralign="center" o:hrstd="t" o:hr="t"/>
        </w:pict>
      </w:r>
    </w:p>
    <w:bookmarkEnd w:id="34"/>
    <w:bookmarkStart w:id="35" w:name="X771bbaadeec167be470c70ef5a483a91c10e462"/>
    <w:p>
      <w:pPr>
        <w:pStyle w:val="Heading2"/>
      </w:pPr>
      <w:r>
        <w:t xml:space="preserve">11. International Data Transfers &amp; Regional Compliance</w:t>
      </w:r>
    </w:p>
    <w:p>
      <w:pPr>
        <w:pStyle w:val="FirstParagraph"/>
      </w:pPr>
      <w:r>
        <w:t xml:space="preserve">As we operate globally, personal information may be processed in countries other than your own, including India, where our infrastructure and operations are based. Where we transfer personal information internationally, we take appropriate steps to ensure such transfers comply with applicable law, including the use of standard contractual clauses or equivalent safeguards where required.</w:t>
      </w:r>
    </w:p>
    <w:p>
      <w:pPr>
        <w:pStyle w:val="BodyText"/>
      </w:pPr>
      <w:r>
        <w:t xml:space="preserve">Depending on your location, the following regional frameworks may apply to our processing of your personal information:</w:t>
      </w:r>
    </w:p>
    <w:p>
      <w:pPr>
        <w:numPr>
          <w:ilvl w:val="0"/>
          <w:numId w:val="1012"/>
        </w:numPr>
        <w:pStyle w:val="Compact"/>
      </w:pPr>
      <w:r>
        <w:rPr>
          <w:bCs/>
          <w:b/>
        </w:rPr>
        <w:t xml:space="preserve">India’s Digital Personal Data Protection Act (DPDP), 2023</w:t>
      </w:r>
      <w:r>
        <w:t xml:space="preserve"> </w:t>
      </w:r>
      <w:r>
        <w:t xml:space="preserve">— as an India-registered entity, we intend to comply with the DPDP Act’s requirements regarding notice, consent, purpose limitation, and data principal rights for all individuals whose personal data we process</w:t>
      </w:r>
    </w:p>
    <w:p>
      <w:pPr>
        <w:numPr>
          <w:ilvl w:val="0"/>
          <w:numId w:val="1012"/>
        </w:numPr>
        <w:pStyle w:val="Compact"/>
      </w:pPr>
      <w:r>
        <w:rPr>
          <w:bCs/>
          <w:b/>
        </w:rPr>
        <w:t xml:space="preserve">EU/UK General Data Protection Regulation (GDPR)</w:t>
      </w:r>
      <w:r>
        <w:t xml:space="preserve"> </w:t>
      </w:r>
      <w:r>
        <w:t xml:space="preserve">— for individuals located in the EU or UK, we recognize rights including access, rectification, erasure, restriction, portability, and objection, and will appoint an EU/UK representative if and when required based on our processing activities</w:t>
      </w:r>
    </w:p>
    <w:p>
      <w:pPr>
        <w:numPr>
          <w:ilvl w:val="0"/>
          <w:numId w:val="1012"/>
        </w:numPr>
        <w:pStyle w:val="Compact"/>
      </w:pPr>
      <w:r>
        <w:rPr>
          <w:bCs/>
          <w:b/>
        </w:rPr>
        <w:t xml:space="preserve">California Consumer Privacy Act (CCPA/CPRA)</w:t>
      </w:r>
      <w:r>
        <w:t xml:space="preserve"> </w:t>
      </w:r>
      <w:r>
        <w:t xml:space="preserve">— for California residents, we recognize the right to know what personal information is collected, to request deletion, and to opt out of the sale of personal information (noting again that we do not sell personal information)</w:t>
      </w:r>
    </w:p>
    <w:p>
      <w:pPr>
        <w:numPr>
          <w:ilvl w:val="0"/>
          <w:numId w:val="1012"/>
        </w:numPr>
        <w:pStyle w:val="Compact"/>
      </w:pPr>
      <w:r>
        <w:rPr>
          <w:bCs/>
          <w:b/>
        </w:rPr>
        <w:t xml:space="preserve">Other applicable regional laws</w:t>
      </w:r>
      <w:r>
        <w:t xml:space="preserve"> </w:t>
      </w:r>
      <w:r>
        <w:t xml:space="preserve">— as we expand into new markets, we will assess and comply with additional data protection laws relevant to our customer base, and update this Policy accordingly</w:t>
      </w:r>
    </w:p>
    <w:p>
      <w:r>
        <w:pict>
          <v:rect style="width:0;height:1.5pt" o:hralign="center" o:hrstd="t" o:hr="t"/>
        </w:pict>
      </w:r>
    </w:p>
    <w:bookmarkEnd w:id="35"/>
    <w:bookmarkStart w:id="36" w:name="changes-to-this-policy"/>
    <w:p>
      <w:pPr>
        <w:pStyle w:val="Heading2"/>
      </w:pPr>
      <w:r>
        <w:t xml:space="preserve">12. Changes to This Policy</w:t>
      </w:r>
    </w:p>
    <w:p>
      <w:pPr>
        <w:pStyle w:val="FirstParagraph"/>
      </w:pPr>
      <w:r>
        <w:t xml:space="preserve">We are currently in a</w:t>
      </w:r>
      <w:r>
        <w:t xml:space="preserve"> </w:t>
      </w:r>
      <w:r>
        <w:rPr>
          <w:bCs/>
          <w:b/>
        </w:rPr>
        <w:t xml:space="preserve">pre-launch stage</w:t>
      </w:r>
      <w:r>
        <w:t xml:space="preserve">, and this Privacy Policy reflects our practices as of this stage. As our Service moves toward and through its official launch, we will update this Policy to reflect new features, data practices, and third-party integrations, and will revise the</w:t>
      </w:r>
      <w:r>
        <w:t xml:space="preserve"> </w:t>
      </w:r>
      <w:r>
        <w:t xml:space="preserve">“</w:t>
      </w:r>
      <w:r>
        <w:t xml:space="preserve">Last updated</w:t>
      </w:r>
      <w:r>
        <w:t xml:space="preserve">”</w:t>
      </w:r>
      <w:r>
        <w:t xml:space="preserve"> </w:t>
      </w:r>
      <w:r>
        <w:t xml:space="preserve">notice above accordingly. Where changes are material, we will provide additional notice, such as via email or a notice on our website.</w:t>
      </w:r>
    </w:p>
    <w:p>
      <w:r>
        <w:pict>
          <v:rect style="width:0;height:1.5pt" o:hralign="center" o:hrstd="t" o:hr="t"/>
        </w:pict>
      </w:r>
    </w:p>
    <w:bookmarkEnd w:id="36"/>
    <w:bookmarkStart w:id="37" w:name="contact-us"/>
    <w:p>
      <w:pPr>
        <w:pStyle w:val="Heading2"/>
      </w:pPr>
      <w:r>
        <w:t xml:space="preserve">13. Contact Us</w:t>
      </w:r>
    </w:p>
    <w:p>
      <w:pPr>
        <w:pStyle w:val="FirstParagraph"/>
      </w:pPr>
      <w:r>
        <w:t xml:space="preserve">If you have questions about this Privacy Policy or how we handle personal information, contact us at:</w:t>
      </w:r>
    </w:p>
    <w:p>
      <w:pPr>
        <w:pStyle w:val="BodyText"/>
      </w:pPr>
      <w:r>
        <w:rPr>
          <w:bCs/>
          <w:b/>
        </w:rPr>
        <w:t xml:space="preserve">Organic Growth Engine LLP</w:t>
      </w:r>
      <w:r>
        <w:t xml:space="preserve"> </w:t>
      </w:r>
      <w:r>
        <w:t xml:space="preserve">Email:</w:t>
      </w:r>
      <w:r>
        <w:t xml:space="preserve"> </w:t>
      </w:r>
      <w:r>
        <w:rPr>
          <w:bCs/>
          <w:b/>
        </w:rPr>
        <w:t xml:space="preserve">ogengine.office@gmail.com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2026-08-27T00:06:19Z</dcterms:created>
  <dcterms:modified xsi:type="dcterms:W3CDTF">2026-08-27T00:06:19Z</dcterms:modified>
</cp:coreProperties>
</file>

<file path=docProps/custom.xml><?xml version="1.0" encoding="utf-8"?>
<Properties xmlns="http://schemas.openxmlformats.org/officeDocument/2006/custom-properties" xmlns:vt="http://schemas.openxmlformats.org/officeDocument/2006/docPropsVTypes"/>
</file>